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A1" w:rsidRPr="009B57C5" w:rsidRDefault="00E67DC9" w:rsidP="00DB5C4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57C5">
        <w:rPr>
          <w:b/>
          <w:sz w:val="28"/>
          <w:szCs w:val="28"/>
        </w:rPr>
        <w:t>TEMATICKÝ  PLÁN  - ODBORNÝ VÝCVIK</w:t>
      </w:r>
    </w:p>
    <w:p w:rsidR="00E67DC9" w:rsidRPr="00DB5C4A" w:rsidRDefault="00E67DC9" w:rsidP="00DB5C4A">
      <w:pPr>
        <w:jc w:val="center"/>
        <w:rPr>
          <w:b/>
        </w:rPr>
      </w:pPr>
      <w:r w:rsidRPr="00DB5C4A">
        <w:rPr>
          <w:b/>
        </w:rPr>
        <w:t>OBOR KUCHAŘ</w:t>
      </w:r>
      <w:r w:rsidR="00656810">
        <w:rPr>
          <w:b/>
        </w:rPr>
        <w:t xml:space="preserve">, ČÍŠNÍK </w:t>
      </w:r>
      <w:r w:rsidR="00DB5C4A" w:rsidRPr="00DB5C4A">
        <w:rPr>
          <w:b/>
        </w:rPr>
        <w:t xml:space="preserve">- </w:t>
      </w:r>
      <w:r w:rsidR="002A5644">
        <w:rPr>
          <w:b/>
        </w:rPr>
        <w:t>3</w:t>
      </w:r>
      <w:r w:rsidR="00DB5C4A" w:rsidRPr="00DB5C4A">
        <w:rPr>
          <w:b/>
        </w:rPr>
        <w:t>. ročník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9"/>
        <w:gridCol w:w="397"/>
        <w:gridCol w:w="397"/>
        <w:gridCol w:w="4354"/>
      </w:tblGrid>
      <w:tr w:rsidR="00E67DC9" w:rsidTr="004D6006">
        <w:trPr>
          <w:trHeight w:val="397"/>
        </w:trPr>
        <w:tc>
          <w:tcPr>
            <w:tcW w:w="3999" w:type="dxa"/>
            <w:vAlign w:val="center"/>
          </w:tcPr>
          <w:p w:rsidR="00E67DC9" w:rsidRDefault="00E67DC9" w:rsidP="00E67DC9">
            <w:pPr>
              <w:jc w:val="center"/>
            </w:pPr>
            <w:r>
              <w:t>Učební osnova</w:t>
            </w:r>
          </w:p>
        </w:tc>
        <w:tc>
          <w:tcPr>
            <w:tcW w:w="794" w:type="dxa"/>
            <w:gridSpan w:val="2"/>
            <w:vAlign w:val="center"/>
          </w:tcPr>
          <w:p w:rsidR="00E67DC9" w:rsidRDefault="00E67DC9" w:rsidP="00E67DC9">
            <w:pPr>
              <w:jc w:val="center"/>
            </w:pPr>
            <w:r>
              <w:t>Dny</w:t>
            </w:r>
          </w:p>
        </w:tc>
        <w:tc>
          <w:tcPr>
            <w:tcW w:w="4354" w:type="dxa"/>
            <w:vAlign w:val="center"/>
          </w:tcPr>
          <w:p w:rsidR="00E67DC9" w:rsidRDefault="00E67DC9" w:rsidP="00E67DC9">
            <w:pPr>
              <w:jc w:val="center"/>
            </w:pPr>
            <w:r>
              <w:t>Výsledky vzdělávání</w:t>
            </w:r>
          </w:p>
        </w:tc>
      </w:tr>
      <w:tr w:rsidR="00090B45" w:rsidTr="004D6006">
        <w:trPr>
          <w:trHeight w:val="1216"/>
        </w:trPr>
        <w:tc>
          <w:tcPr>
            <w:tcW w:w="3999" w:type="dxa"/>
            <w:vMerge w:val="restart"/>
          </w:tcPr>
          <w:p w:rsidR="00090B45" w:rsidRDefault="00090B45" w:rsidP="009B57C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zCs w:val="24"/>
              </w:rPr>
              <w:t>Úvod</w:t>
            </w:r>
            <w:r>
              <w:rPr>
                <w:b/>
                <w:bCs/>
                <w:color w:val="000000"/>
                <w:szCs w:val="24"/>
              </w:rPr>
              <w:t xml:space="preserve"> ve výrobním i odbytovém středisku</w:t>
            </w:r>
          </w:p>
          <w:p w:rsidR="00794B55" w:rsidRPr="00C970CD" w:rsidRDefault="00794B55" w:rsidP="00794B55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-přehled</w:t>
            </w:r>
            <w:r w:rsidRPr="00C970CD">
              <w:rPr>
                <w:color w:val="000000"/>
                <w:spacing w:val="-1"/>
                <w:szCs w:val="24"/>
              </w:rPr>
              <w:t xml:space="preserve"> odborné </w:t>
            </w:r>
            <w:r w:rsidRPr="00C970CD">
              <w:rPr>
                <w:color w:val="000000"/>
                <w:szCs w:val="24"/>
              </w:rPr>
              <w:t>literatury, orientace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 xml:space="preserve">ve struktuře </w:t>
            </w:r>
            <w:r>
              <w:rPr>
                <w:color w:val="000000"/>
                <w:szCs w:val="24"/>
              </w:rPr>
              <w:t>receptur teplých a studených po</w:t>
            </w:r>
            <w:r w:rsidRPr="00C970CD">
              <w:rPr>
                <w:color w:val="000000"/>
                <w:szCs w:val="24"/>
              </w:rPr>
              <w:t>krmů</w:t>
            </w:r>
          </w:p>
          <w:p w:rsidR="00794B55" w:rsidRDefault="00794B55" w:rsidP="00794B5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uspořádání pracovišt</w:t>
            </w:r>
            <w:r>
              <w:rPr>
                <w:color w:val="000000"/>
                <w:szCs w:val="24"/>
              </w:rPr>
              <w:t>ě ve výrobním i odbytovém středisku</w:t>
            </w:r>
            <w:r w:rsidRPr="00C970CD">
              <w:rPr>
                <w:color w:val="000000"/>
                <w:szCs w:val="24"/>
              </w:rPr>
              <w:t>,</w:t>
            </w:r>
            <w:r>
              <w:rPr>
                <w:color w:val="000000"/>
                <w:szCs w:val="24"/>
              </w:rPr>
              <w:t xml:space="preserve"> možné rozdíly</w:t>
            </w:r>
          </w:p>
          <w:p w:rsidR="00794B55" w:rsidRPr="00C970CD" w:rsidRDefault="00794B55" w:rsidP="00794B5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organizace odborného výcviku, p</w:t>
            </w:r>
            <w:r w:rsidRPr="00C970CD">
              <w:rPr>
                <w:color w:val="000000"/>
                <w:szCs w:val="24"/>
              </w:rPr>
              <w:t>ráva a povinnosti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žáků</w:t>
            </w:r>
          </w:p>
          <w:p w:rsidR="00090B45" w:rsidRDefault="00794B55" w:rsidP="00794B55">
            <w:pPr>
              <w:shd w:val="clear" w:color="auto" w:fill="FFFFFF"/>
              <w:tabs>
                <w:tab w:val="left" w:pos="105"/>
                <w:tab w:val="left" w:pos="24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2"/>
                <w:szCs w:val="24"/>
              </w:rPr>
              <w:t>styk s nadřízenými a pracovním kolektivem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 w:rsidP="00090B45">
            <w:r>
              <w:t>3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C8322C" w:rsidP="00090B45">
            <w:r>
              <w:t>4</w:t>
            </w:r>
          </w:p>
        </w:tc>
        <w:tc>
          <w:tcPr>
            <w:tcW w:w="4354" w:type="dxa"/>
            <w:vMerge w:val="restart"/>
          </w:tcPr>
          <w:p w:rsidR="00090B45" w:rsidRDefault="00090B45">
            <w:pPr>
              <w:rPr>
                <w:rFonts w:ascii="Arial" w:hAnsi="Arial" w:cs="Arial"/>
                <w:sz w:val="18"/>
                <w:szCs w:val="18"/>
              </w:rPr>
            </w:pPr>
          </w:p>
          <w:p w:rsidR="00090B45" w:rsidRDefault="00090B45" w:rsidP="009B57C5"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normách, využívá receptury a od</w:t>
            </w:r>
            <w:r w:rsidRPr="00C970CD">
              <w:rPr>
                <w:color w:val="000000"/>
                <w:szCs w:val="24"/>
              </w:rPr>
              <w:t>bornou literaturu</w:t>
            </w:r>
          </w:p>
        </w:tc>
      </w:tr>
      <w:tr w:rsidR="00090B45" w:rsidTr="004D6006">
        <w:trPr>
          <w:cantSplit/>
          <w:trHeight w:val="2550"/>
        </w:trPr>
        <w:tc>
          <w:tcPr>
            <w:tcW w:w="3999" w:type="dxa"/>
            <w:vMerge/>
          </w:tcPr>
          <w:p w:rsidR="00090B45" w:rsidRPr="00C970CD" w:rsidRDefault="00090B45" w:rsidP="009B57C5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397" w:type="dxa"/>
            <w:shd w:val="clear" w:color="auto" w:fill="B6DDE8" w:themeFill="accent5" w:themeFillTint="66"/>
            <w:textDirection w:val="btLr"/>
          </w:tcPr>
          <w:p w:rsidR="00090B45" w:rsidRPr="00090B45" w:rsidRDefault="00090B45" w:rsidP="00090B45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90B45">
              <w:rPr>
                <w:sz w:val="20"/>
                <w:szCs w:val="20"/>
              </w:rPr>
              <w:t>KUCHYNĚ</w:t>
            </w:r>
          </w:p>
        </w:tc>
        <w:tc>
          <w:tcPr>
            <w:tcW w:w="397" w:type="dxa"/>
            <w:shd w:val="clear" w:color="auto" w:fill="FBD4B4" w:themeFill="accent6" w:themeFillTint="66"/>
            <w:textDirection w:val="btLr"/>
          </w:tcPr>
          <w:p w:rsidR="00090B45" w:rsidRPr="00090B45" w:rsidRDefault="00090B45" w:rsidP="00090B45">
            <w:pPr>
              <w:spacing w:after="0" w:line="240" w:lineRule="auto"/>
              <w:ind w:left="113" w:right="113"/>
              <w:rPr>
                <w:sz w:val="20"/>
                <w:szCs w:val="20"/>
              </w:rPr>
            </w:pPr>
            <w:r w:rsidRPr="00090B45">
              <w:rPr>
                <w:sz w:val="20"/>
                <w:szCs w:val="20"/>
              </w:rPr>
              <w:t>RESTAURACE</w:t>
            </w:r>
          </w:p>
        </w:tc>
        <w:tc>
          <w:tcPr>
            <w:tcW w:w="4354" w:type="dxa"/>
            <w:vMerge/>
          </w:tcPr>
          <w:p w:rsidR="00090B45" w:rsidRDefault="00090B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0B45" w:rsidTr="004D6006">
        <w:trPr>
          <w:trHeight w:val="3685"/>
        </w:trPr>
        <w:tc>
          <w:tcPr>
            <w:tcW w:w="3999" w:type="dxa"/>
          </w:tcPr>
          <w:p w:rsidR="00090B45" w:rsidRDefault="00090B45" w:rsidP="009B57C5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 xml:space="preserve">Bezpečnost a ochrana zdraví při práci, </w:t>
            </w:r>
            <w:r w:rsidRPr="00C970CD">
              <w:rPr>
                <w:b/>
                <w:bCs/>
                <w:color w:val="000000"/>
                <w:szCs w:val="24"/>
              </w:rPr>
              <w:t>hygiena práce, požární prevence</w:t>
            </w:r>
            <w:r>
              <w:t xml:space="preserve"> 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základní hygienické předpisy, systém HACCP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  <w:tab w:val="left" w:pos="403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b</w:t>
            </w:r>
            <w:r w:rsidRPr="00C970CD">
              <w:rPr>
                <w:color w:val="000000"/>
                <w:spacing w:val="-1"/>
                <w:szCs w:val="24"/>
              </w:rPr>
              <w:t>ezpečnost práce, ochranné pracovní</w:t>
            </w:r>
            <w:r w:rsidRPr="00C970CD">
              <w:rPr>
                <w:color w:val="000000"/>
                <w:szCs w:val="24"/>
              </w:rPr>
              <w:t xml:space="preserve"> pomůcky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předcházení úrazům, první pomoc při úrazu</w:t>
            </w:r>
          </w:p>
          <w:p w:rsidR="00090B45" w:rsidRPr="00E67DC9" w:rsidRDefault="00090B45" w:rsidP="00656810">
            <w:pPr>
              <w:spacing w:after="120" w:line="240" w:lineRule="auto"/>
              <w:rPr>
                <w:b/>
                <w:sz w:val="28"/>
                <w:szCs w:val="28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zCs w:val="24"/>
              </w:rPr>
              <w:t>požární ochrana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>
            <w:r>
              <w:t>3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C8322C">
            <w:r>
              <w:t>3</w:t>
            </w:r>
          </w:p>
        </w:tc>
        <w:tc>
          <w:tcPr>
            <w:tcW w:w="4354" w:type="dxa"/>
          </w:tcPr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ustanovení týkající se bezpečnosti </w:t>
            </w:r>
            <w:r>
              <w:rPr>
                <w:color w:val="000000"/>
                <w:szCs w:val="24"/>
              </w:rPr>
              <w:br/>
            </w:r>
            <w:r w:rsidRPr="00C970CD">
              <w:rPr>
                <w:color w:val="000000"/>
                <w:szCs w:val="24"/>
              </w:rPr>
              <w:t>a ochrany zd</w:t>
            </w:r>
            <w:r>
              <w:rPr>
                <w:color w:val="000000"/>
                <w:szCs w:val="24"/>
              </w:rPr>
              <w:t>raví při práci a požární preven</w:t>
            </w:r>
            <w:r w:rsidRPr="00C970CD">
              <w:rPr>
                <w:color w:val="000000"/>
                <w:szCs w:val="24"/>
              </w:rPr>
              <w:t>ce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Seznamuje se s</w:t>
            </w:r>
            <w:r w:rsidRPr="00C970CD">
              <w:rPr>
                <w:color w:val="000000"/>
                <w:szCs w:val="24"/>
              </w:rPr>
              <w:t xml:space="preserve"> příklady bezpečnostních </w:t>
            </w:r>
            <w:r w:rsidRPr="00C970CD">
              <w:rPr>
                <w:color w:val="000000"/>
                <w:spacing w:val="-4"/>
                <w:szCs w:val="24"/>
              </w:rPr>
              <w:t xml:space="preserve">rizik, </w:t>
            </w:r>
            <w:r>
              <w:rPr>
                <w:color w:val="000000"/>
                <w:spacing w:val="-4"/>
                <w:szCs w:val="24"/>
              </w:rPr>
              <w:t>nejčastěj</w:t>
            </w:r>
            <w:r w:rsidRPr="00C970CD">
              <w:rPr>
                <w:color w:val="000000"/>
                <w:spacing w:val="-4"/>
                <w:szCs w:val="24"/>
              </w:rPr>
              <w:t>ší</w:t>
            </w:r>
            <w:r>
              <w:rPr>
                <w:color w:val="000000"/>
                <w:spacing w:val="-4"/>
                <w:szCs w:val="24"/>
              </w:rPr>
              <w:t xml:space="preserve"> příčiny</w:t>
            </w:r>
            <w:r w:rsidRPr="00C970CD">
              <w:rPr>
                <w:color w:val="000000"/>
                <w:spacing w:val="-4"/>
                <w:szCs w:val="24"/>
              </w:rPr>
              <w:t xml:space="preserve"> úrazů a jejich </w:t>
            </w:r>
            <w:r w:rsidRPr="00C970CD">
              <w:rPr>
                <w:color w:val="000000"/>
                <w:szCs w:val="24"/>
              </w:rPr>
              <w:t>prevenc</w:t>
            </w:r>
            <w:r>
              <w:rPr>
                <w:color w:val="000000"/>
                <w:szCs w:val="24"/>
              </w:rPr>
              <w:t>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 w:rsidRPr="00C970CD">
              <w:rPr>
                <w:color w:val="000000"/>
                <w:szCs w:val="24"/>
              </w:rPr>
              <w:t>Poskytne první pomoc při úrazu na pracovišti</w:t>
            </w:r>
          </w:p>
          <w:p w:rsidR="00090B45" w:rsidRPr="00C970CD" w:rsidRDefault="00090B45" w:rsidP="00656810">
            <w:pPr>
              <w:shd w:val="clear" w:color="auto" w:fill="FFFFFF"/>
              <w:tabs>
                <w:tab w:val="left" w:pos="326"/>
              </w:tabs>
              <w:spacing w:line="288" w:lineRule="exact"/>
              <w:jc w:val="both"/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povinn</w:t>
            </w:r>
            <w:r>
              <w:rPr>
                <w:color w:val="000000"/>
                <w:szCs w:val="24"/>
              </w:rPr>
              <w:t>osti pracovníka v případě pracov</w:t>
            </w:r>
            <w:r w:rsidRPr="00C970CD">
              <w:rPr>
                <w:color w:val="000000"/>
                <w:szCs w:val="24"/>
              </w:rPr>
              <w:t>ního úrazu</w:t>
            </w:r>
          </w:p>
          <w:p w:rsidR="00B05D42" w:rsidRDefault="00090B45" w:rsidP="00B05D4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exac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Dodržuje</w:t>
            </w:r>
            <w:r w:rsidRPr="00C970CD">
              <w:rPr>
                <w:color w:val="000000"/>
                <w:szCs w:val="24"/>
              </w:rPr>
              <w:t xml:space="preserve"> požadavk</w:t>
            </w:r>
            <w:r>
              <w:rPr>
                <w:color w:val="000000"/>
                <w:szCs w:val="24"/>
              </w:rPr>
              <w:t xml:space="preserve">y na hygienu v gastronomii </w:t>
            </w:r>
            <w:r>
              <w:rPr>
                <w:color w:val="000000"/>
                <w:szCs w:val="24"/>
              </w:rPr>
              <w:br/>
            </w:r>
          </w:p>
          <w:p w:rsidR="00090B45" w:rsidRPr="00DB5C4A" w:rsidRDefault="00B05D42" w:rsidP="00B05D42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exac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účel kritických bodů a jejich fungování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 praxi</w:t>
            </w:r>
          </w:p>
        </w:tc>
      </w:tr>
      <w:tr w:rsidR="00090B45" w:rsidTr="004D6006">
        <w:trPr>
          <w:trHeight w:val="609"/>
        </w:trPr>
        <w:tc>
          <w:tcPr>
            <w:tcW w:w="3999" w:type="dxa"/>
          </w:tcPr>
          <w:p w:rsidR="002A5644" w:rsidRDefault="002A5644" w:rsidP="002A5644">
            <w:pPr>
              <w:shd w:val="clear" w:color="auto" w:fill="FFFFFF"/>
              <w:tabs>
                <w:tab w:val="left" w:pos="145"/>
              </w:tabs>
              <w:spacing w:line="288" w:lineRule="exact"/>
              <w:ind w:left="185" w:hanging="185"/>
              <w:rPr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>Příprava pokrmů na objednávku</w:t>
            </w:r>
            <w:r>
              <w:rPr>
                <w:color w:val="000000"/>
                <w:szCs w:val="24"/>
              </w:rPr>
              <w:t xml:space="preserve"> 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druhy masa vhodné k přípravě minutek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minutky z jednotlivých druhů masa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příprava šťávy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úprava příloh a garnitur</w:t>
            </w:r>
          </w:p>
          <w:p w:rsidR="00090B45" w:rsidRPr="00B05D42" w:rsidRDefault="00090B45" w:rsidP="00B05D42">
            <w:pPr>
              <w:spacing w:after="120" w:line="240" w:lineRule="auto"/>
              <w:rPr>
                <w:color w:val="000000"/>
                <w:szCs w:val="24"/>
              </w:rPr>
            </w:pP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>
            <w:r>
              <w:t>10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354" w:type="dxa"/>
          </w:tcPr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ve výrobním středisku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3"/>
                <w:szCs w:val="24"/>
              </w:rPr>
              <w:t>Využívá</w:t>
            </w:r>
            <w:r w:rsidRPr="00C970CD">
              <w:rPr>
                <w:color w:val="000000"/>
                <w:spacing w:val="-3"/>
                <w:szCs w:val="24"/>
              </w:rPr>
              <w:t xml:space="preserve"> předběžnou úpravu a přípravu </w:t>
            </w:r>
            <w:r w:rsidRPr="00C970CD">
              <w:rPr>
                <w:color w:val="000000"/>
                <w:szCs w:val="24"/>
              </w:rPr>
              <w:t>surovin</w:t>
            </w:r>
          </w:p>
          <w:p w:rsidR="00090B45" w:rsidRPr="00E67DC9" w:rsidRDefault="002A5644" w:rsidP="002A564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norm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>, receptur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 xml:space="preserve"> a odbornou literaturu</w:t>
            </w:r>
          </w:p>
        </w:tc>
      </w:tr>
      <w:tr w:rsidR="00090B45" w:rsidTr="004D6006">
        <w:trPr>
          <w:trHeight w:val="2253"/>
        </w:trPr>
        <w:tc>
          <w:tcPr>
            <w:tcW w:w="3999" w:type="dxa"/>
          </w:tcPr>
          <w:p w:rsidR="00B05D42" w:rsidRDefault="00B05D42" w:rsidP="00DB5C4A">
            <w:pPr>
              <w:spacing w:after="120" w:line="240" w:lineRule="auto"/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lastRenderedPageBreak/>
              <w:t>Způsoby evidence zásob a vyúčtování s hoste</w:t>
            </w:r>
            <w:r w:rsidRPr="00C970CD">
              <w:rPr>
                <w:b/>
                <w:bCs/>
                <w:color w:val="000000"/>
                <w:szCs w:val="24"/>
              </w:rPr>
              <w:t>m</w:t>
            </w:r>
            <w:r>
              <w:t xml:space="preserve"> </w:t>
            </w:r>
          </w:p>
          <w:p w:rsidR="00B05D42" w:rsidRPr="00C970CD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evidence a placení, práce s pokladnou a počítačem</w:t>
            </w:r>
          </w:p>
          <w:p w:rsidR="00B05D42" w:rsidRPr="00C970CD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výdej jídel a nápojů a jejich evidence při prodeji</w:t>
            </w:r>
          </w:p>
          <w:p w:rsidR="00B05D42" w:rsidRPr="00B05D42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C970CD">
              <w:rPr>
                <w:color w:val="000000"/>
                <w:szCs w:val="24"/>
              </w:rPr>
              <w:t>skladová evidence zásob</w:t>
            </w:r>
          </w:p>
          <w:p w:rsidR="00090B45" w:rsidRPr="00B05D42" w:rsidRDefault="00B05D42" w:rsidP="00B05D42">
            <w:pPr>
              <w:pStyle w:val="Odstavecseseznamem"/>
              <w:numPr>
                <w:ilvl w:val="0"/>
                <w:numId w:val="19"/>
              </w:num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jc w:val="both"/>
            </w:pPr>
            <w:r w:rsidRPr="00B05D42">
              <w:rPr>
                <w:color w:val="000000"/>
                <w:spacing w:val="-1"/>
                <w:szCs w:val="24"/>
              </w:rPr>
              <w:t>vyúčtování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 w:rsidRPr="00B05D42">
              <w:rPr>
                <w:color w:val="000000"/>
                <w:spacing w:val="-1"/>
                <w:szCs w:val="24"/>
              </w:rPr>
              <w:t>s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 w:rsidRPr="00B05D42">
              <w:rPr>
                <w:color w:val="000000"/>
                <w:spacing w:val="-1"/>
                <w:szCs w:val="24"/>
              </w:rPr>
              <w:t>hostem,</w:t>
            </w:r>
            <w:r>
              <w:rPr>
                <w:color w:val="000000"/>
                <w:spacing w:val="-1"/>
                <w:szCs w:val="24"/>
              </w:rPr>
              <w:t xml:space="preserve"> </w:t>
            </w:r>
            <w:r w:rsidR="002A5644" w:rsidRPr="00B05D42">
              <w:rPr>
                <w:color w:val="000000"/>
                <w:spacing w:val="-1"/>
                <w:szCs w:val="24"/>
              </w:rPr>
              <w:t>vyúčtování</w:t>
            </w:r>
            <w:r w:rsidR="002A5644">
              <w:rPr>
                <w:color w:val="000000"/>
                <w:spacing w:val="-1"/>
                <w:szCs w:val="24"/>
              </w:rPr>
              <w:t xml:space="preserve"> slavnostních</w:t>
            </w:r>
            <w:r w:rsidRPr="00B05D42">
              <w:rPr>
                <w:color w:val="000000"/>
                <w:szCs w:val="24"/>
              </w:rPr>
              <w:t xml:space="preserve"> hostin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>
            <w:r>
              <w:t>3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C8322C">
            <w:r>
              <w:t>6</w:t>
            </w:r>
          </w:p>
        </w:tc>
        <w:tc>
          <w:tcPr>
            <w:tcW w:w="4354" w:type="dxa"/>
          </w:tcPr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 xml:space="preserve">Určí </w:t>
            </w:r>
            <w:r w:rsidRPr="00C970CD">
              <w:rPr>
                <w:color w:val="000000"/>
                <w:szCs w:val="24"/>
              </w:rPr>
              <w:t>způsoby vyúčtování s hostem a objednavatelem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Provede</w:t>
            </w:r>
            <w:r w:rsidRPr="00C970CD">
              <w:rPr>
                <w:color w:val="000000"/>
                <w:szCs w:val="24"/>
              </w:rPr>
              <w:t xml:space="preserve"> vyúčtování tržeb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Využívá informace o</w:t>
            </w:r>
            <w:r w:rsidRPr="00C970CD">
              <w:rPr>
                <w:color w:val="000000"/>
                <w:spacing w:val="-3"/>
                <w:szCs w:val="24"/>
              </w:rPr>
              <w:t xml:space="preserve"> skladu, </w:t>
            </w:r>
            <w:r>
              <w:rPr>
                <w:color w:val="000000"/>
                <w:spacing w:val="-3"/>
                <w:szCs w:val="24"/>
              </w:rPr>
              <w:t>o</w:t>
            </w:r>
            <w:r w:rsidRPr="00C970CD">
              <w:rPr>
                <w:color w:val="000000"/>
                <w:spacing w:val="-3"/>
                <w:szCs w:val="24"/>
              </w:rPr>
              <w:t xml:space="preserve"> vedení evidence</w:t>
            </w:r>
            <w:r w:rsidRPr="00C970CD">
              <w:rPr>
                <w:color w:val="000000"/>
                <w:szCs w:val="24"/>
              </w:rPr>
              <w:t xml:space="preserve"> zásob</w:t>
            </w:r>
          </w:p>
          <w:p w:rsidR="00B05D42" w:rsidRPr="00C970CD" w:rsidRDefault="00B05D42" w:rsidP="00B05D42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Charakterizuje podmínky skladování pro rozličné druhy zásob</w:t>
            </w:r>
          </w:p>
          <w:p w:rsidR="00090B45" w:rsidRPr="00377233" w:rsidRDefault="00B05D42" w:rsidP="00B05D42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color w:val="000000"/>
                <w:spacing w:val="-3"/>
                <w:szCs w:val="24"/>
              </w:rPr>
              <w:t>Používá</w:t>
            </w:r>
            <w:r w:rsidRPr="00C970CD">
              <w:rPr>
                <w:color w:val="000000"/>
                <w:spacing w:val="-3"/>
                <w:szCs w:val="24"/>
              </w:rPr>
              <w:t xml:space="preserve"> způsoby evidence výdeje pokrmů a </w:t>
            </w:r>
            <w:r w:rsidRPr="00C970CD">
              <w:rPr>
                <w:color w:val="000000"/>
                <w:szCs w:val="24"/>
              </w:rPr>
              <w:t>nápojů</w:t>
            </w:r>
          </w:p>
        </w:tc>
      </w:tr>
      <w:tr w:rsidR="00090B45" w:rsidTr="004D6006">
        <w:trPr>
          <w:trHeight w:val="3120"/>
        </w:trPr>
        <w:tc>
          <w:tcPr>
            <w:tcW w:w="3999" w:type="dxa"/>
          </w:tcPr>
          <w:p w:rsidR="002A5644" w:rsidRDefault="002A5644" w:rsidP="00B05D42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  <w:rPr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>Příprava pokrmů studené kuchyně</w:t>
            </w:r>
            <w:r w:rsidRPr="00C970CD">
              <w:rPr>
                <w:color w:val="000000"/>
                <w:szCs w:val="24"/>
              </w:rPr>
              <w:t xml:space="preserve"> </w:t>
            </w:r>
          </w:p>
          <w:p w:rsidR="002A5644" w:rsidRPr="00C970CD" w:rsidRDefault="00B05D42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="002A5644" w:rsidRPr="00C970CD">
              <w:rPr>
                <w:color w:val="000000"/>
                <w:szCs w:val="24"/>
              </w:rPr>
              <w:t>obložené chlebíčky a chuťovky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výrobky ze sýrů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složité saláty, plněné zeleniny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  <w:tab w:val="left" w:pos="346"/>
              </w:tabs>
              <w:spacing w:line="288" w:lineRule="exact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- jídla z vajec,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  <w:tab w:val="left" w:pos="34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</w:r>
            <w:r w:rsidRPr="00C970CD">
              <w:rPr>
                <w:color w:val="000000"/>
                <w:spacing w:val="-3"/>
                <w:szCs w:val="24"/>
              </w:rPr>
              <w:t>masové pěny, paštiky, galantiny, huspeniny</w:t>
            </w:r>
          </w:p>
          <w:p w:rsidR="00090B45" w:rsidRPr="002A5644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  <w:ind w:left="105" w:hanging="105"/>
            </w:pPr>
            <w:r>
              <w:rPr>
                <w:color w:val="000000"/>
                <w:szCs w:val="24"/>
              </w:rPr>
              <w:t>- majonézy a koktej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>
            <w:r>
              <w:t>9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090B45"/>
        </w:tc>
        <w:tc>
          <w:tcPr>
            <w:tcW w:w="4354" w:type="dxa"/>
          </w:tcPr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Dohotovuje a expeduje pokrmy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Používá</w:t>
            </w:r>
            <w:r w:rsidRPr="00C970CD">
              <w:rPr>
                <w:color w:val="000000"/>
                <w:szCs w:val="24"/>
              </w:rPr>
              <w:t xml:space="preserve"> zařízení, spotřebič</w:t>
            </w:r>
            <w:r>
              <w:rPr>
                <w:color w:val="000000"/>
                <w:szCs w:val="24"/>
              </w:rPr>
              <w:t>e</w:t>
            </w:r>
            <w:r w:rsidRPr="00C970CD">
              <w:rPr>
                <w:color w:val="000000"/>
                <w:szCs w:val="24"/>
              </w:rPr>
              <w:t xml:space="preserve"> a dalším vybavení</w:t>
            </w:r>
            <w:r>
              <w:rPr>
                <w:color w:val="000000"/>
                <w:szCs w:val="24"/>
              </w:rPr>
              <w:t xml:space="preserve"> </w:t>
            </w:r>
            <w:r w:rsidRPr="00C970CD">
              <w:rPr>
                <w:color w:val="000000"/>
                <w:szCs w:val="24"/>
              </w:rPr>
              <w:t>ve výrobním středisku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C970CD">
              <w:rPr>
                <w:color w:val="000000"/>
                <w:spacing w:val="-1"/>
                <w:szCs w:val="24"/>
              </w:rPr>
              <w:t xml:space="preserve">Hospodárně nakládá se </w:t>
            </w:r>
            <w:r w:rsidRPr="00C970CD">
              <w:rPr>
                <w:color w:val="000000"/>
                <w:szCs w:val="24"/>
              </w:rPr>
              <w:t>surovinami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3"/>
                <w:szCs w:val="24"/>
              </w:rPr>
              <w:t>Předběžně upravuje a připravuje suroviny</w:t>
            </w:r>
          </w:p>
          <w:p w:rsidR="00090B45" w:rsidRPr="00E67DC9" w:rsidRDefault="002A5644" w:rsidP="002A5644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70CD">
              <w:rPr>
                <w:color w:val="000000"/>
                <w:szCs w:val="24"/>
              </w:rPr>
              <w:t>P</w:t>
            </w:r>
            <w:r>
              <w:rPr>
                <w:color w:val="000000"/>
                <w:szCs w:val="24"/>
              </w:rPr>
              <w:t>oužívá</w:t>
            </w:r>
            <w:r w:rsidRPr="00C970CD">
              <w:rPr>
                <w:color w:val="000000"/>
                <w:szCs w:val="24"/>
              </w:rPr>
              <w:t xml:space="preserve"> norm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>, receptur</w:t>
            </w:r>
            <w:r>
              <w:rPr>
                <w:color w:val="000000"/>
                <w:szCs w:val="24"/>
              </w:rPr>
              <w:t>y</w:t>
            </w:r>
            <w:r w:rsidRPr="00C970CD">
              <w:rPr>
                <w:color w:val="000000"/>
                <w:szCs w:val="24"/>
              </w:rPr>
              <w:t xml:space="preserve"> a odbornou literaturu</w:t>
            </w:r>
          </w:p>
        </w:tc>
      </w:tr>
      <w:tr w:rsidR="00090B45" w:rsidTr="004D6006">
        <w:trPr>
          <w:trHeight w:val="3026"/>
        </w:trPr>
        <w:tc>
          <w:tcPr>
            <w:tcW w:w="3999" w:type="dxa"/>
          </w:tcPr>
          <w:p w:rsidR="002A5644" w:rsidRDefault="002A5644" w:rsidP="00B05D42">
            <w:pPr>
              <w:shd w:val="clear" w:color="auto" w:fill="FFFFFF"/>
              <w:tabs>
                <w:tab w:val="left" w:pos="145"/>
              </w:tabs>
              <w:spacing w:line="288" w:lineRule="exact"/>
              <w:ind w:left="145" w:hanging="145"/>
              <w:rPr>
                <w:color w:val="000000"/>
                <w:szCs w:val="24"/>
              </w:rPr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 xml:space="preserve">Praktické sestavování a psaní jídelního a </w:t>
            </w:r>
            <w:r w:rsidRPr="00C970CD">
              <w:rPr>
                <w:b/>
                <w:bCs/>
                <w:color w:val="000000"/>
                <w:szCs w:val="24"/>
              </w:rPr>
              <w:t>nápojového lístku</w:t>
            </w:r>
            <w:r w:rsidRPr="0028688A">
              <w:rPr>
                <w:color w:val="000000"/>
                <w:szCs w:val="24"/>
              </w:rPr>
              <w:t xml:space="preserve"> </w:t>
            </w:r>
          </w:p>
          <w:p w:rsidR="002A5644" w:rsidRPr="00C970CD" w:rsidRDefault="002A5644" w:rsidP="002A5644">
            <w:pPr>
              <w:pStyle w:val="Odstavecseseznamem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95" w:hanging="95"/>
              <w:jc w:val="both"/>
            </w:pPr>
            <w:r w:rsidRPr="00C970CD">
              <w:rPr>
                <w:color w:val="000000"/>
                <w:spacing w:val="-2"/>
                <w:szCs w:val="24"/>
              </w:rPr>
              <w:t xml:space="preserve">gastronomická pravidla </w:t>
            </w:r>
          </w:p>
          <w:p w:rsidR="002A5644" w:rsidRPr="00C970CD" w:rsidRDefault="002A5644" w:rsidP="002A5644">
            <w:pPr>
              <w:pStyle w:val="Odstavecseseznamem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95" w:hanging="95"/>
              <w:jc w:val="both"/>
            </w:pPr>
            <w:r w:rsidRPr="00C970CD">
              <w:rPr>
                <w:color w:val="000000"/>
                <w:szCs w:val="24"/>
              </w:rPr>
              <w:t xml:space="preserve">jídelní lístek </w:t>
            </w:r>
          </w:p>
          <w:p w:rsidR="002A5644" w:rsidRPr="00C970CD" w:rsidRDefault="002A5644" w:rsidP="002A5644">
            <w:pPr>
              <w:pStyle w:val="Odstavecseseznamem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95" w:hanging="95"/>
              <w:jc w:val="both"/>
            </w:pPr>
            <w:r w:rsidRPr="00C970CD">
              <w:rPr>
                <w:color w:val="000000"/>
                <w:szCs w:val="24"/>
              </w:rPr>
              <w:t xml:space="preserve">nápojový lístek </w:t>
            </w:r>
          </w:p>
          <w:p w:rsidR="002A5644" w:rsidRPr="00C970CD" w:rsidRDefault="002A5644" w:rsidP="002A5644">
            <w:pPr>
              <w:pStyle w:val="Odstavecseseznamem"/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left="95" w:hanging="95"/>
              <w:jc w:val="both"/>
            </w:pPr>
            <w:r w:rsidRPr="00C970CD">
              <w:rPr>
                <w:color w:val="000000"/>
                <w:szCs w:val="24"/>
              </w:rPr>
              <w:t>menu</w:t>
            </w:r>
          </w:p>
          <w:p w:rsidR="00090B45" w:rsidRPr="002A5644" w:rsidRDefault="00090B45" w:rsidP="002A5644">
            <w:pPr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>
            <w:r>
              <w:t>5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C8322C">
            <w:r>
              <w:t>8</w:t>
            </w:r>
          </w:p>
        </w:tc>
        <w:tc>
          <w:tcPr>
            <w:tcW w:w="4354" w:type="dxa"/>
          </w:tcPr>
          <w:p w:rsidR="002A5644" w:rsidRDefault="002A5644" w:rsidP="002A5644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before="10" w:line="288" w:lineRule="exact"/>
              <w:rPr>
                <w:color w:val="000000"/>
                <w:szCs w:val="24"/>
              </w:rPr>
            </w:pPr>
            <w:r w:rsidRPr="00C970CD">
              <w:rPr>
                <w:color w:val="000000"/>
                <w:szCs w:val="24"/>
              </w:rPr>
              <w:t>Sestaví menu pro různé příležitosti</w:t>
            </w:r>
          </w:p>
          <w:p w:rsidR="002A5644" w:rsidRPr="00C970CD" w:rsidRDefault="002A5644" w:rsidP="002A5644">
            <w:pPr>
              <w:widowControl w:val="0"/>
              <w:shd w:val="clear" w:color="auto" w:fill="FFFFFF"/>
              <w:tabs>
                <w:tab w:val="left" w:pos="221"/>
                <w:tab w:val="left" w:pos="4888"/>
              </w:tabs>
              <w:autoSpaceDE w:val="0"/>
              <w:autoSpaceDN w:val="0"/>
              <w:adjustRightInd w:val="0"/>
              <w:spacing w:line="288" w:lineRule="exact"/>
              <w:rPr>
                <w:color w:val="000000"/>
                <w:szCs w:val="24"/>
              </w:rPr>
            </w:pPr>
            <w:r>
              <w:rPr>
                <w:color w:val="000000"/>
                <w:spacing w:val="-2"/>
                <w:szCs w:val="24"/>
              </w:rPr>
              <w:t>Sestaví</w:t>
            </w:r>
            <w:r w:rsidRPr="00C970CD">
              <w:rPr>
                <w:color w:val="000000"/>
                <w:spacing w:val="-2"/>
                <w:szCs w:val="24"/>
              </w:rPr>
              <w:t xml:space="preserve"> typickou nabídku pokrmů a n</w:t>
            </w:r>
            <w:r w:rsidRPr="00C970CD">
              <w:rPr>
                <w:color w:val="000000"/>
                <w:szCs w:val="24"/>
              </w:rPr>
              <w:t xml:space="preserve">ápojů </w:t>
            </w:r>
            <w:r w:rsidRPr="00C970CD">
              <w:rPr>
                <w:color w:val="000000"/>
                <w:szCs w:val="24"/>
              </w:rPr>
              <w:br/>
              <w:t>pro odbytová střediska</w:t>
            </w:r>
          </w:p>
          <w:p w:rsidR="00090B45" w:rsidRPr="002A5644" w:rsidRDefault="002A5644" w:rsidP="002A5644">
            <w:pPr>
              <w:widowControl w:val="0"/>
              <w:shd w:val="clear" w:color="auto" w:fill="FFFFFF"/>
              <w:tabs>
                <w:tab w:val="left" w:pos="221"/>
              </w:tabs>
              <w:autoSpaceDE w:val="0"/>
              <w:autoSpaceDN w:val="0"/>
              <w:adjustRightInd w:val="0"/>
              <w:spacing w:line="288" w:lineRule="exact"/>
              <w:ind w:right="108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Definuje</w:t>
            </w:r>
            <w:r w:rsidRPr="00C970CD">
              <w:rPr>
                <w:color w:val="000000"/>
                <w:szCs w:val="24"/>
              </w:rPr>
              <w:t xml:space="preserve"> náležitosti jídelního a nápojového lístku</w:t>
            </w:r>
          </w:p>
        </w:tc>
      </w:tr>
      <w:tr w:rsidR="00090B45" w:rsidTr="004D6006">
        <w:trPr>
          <w:trHeight w:val="2473"/>
        </w:trPr>
        <w:tc>
          <w:tcPr>
            <w:tcW w:w="3999" w:type="dxa"/>
          </w:tcPr>
          <w:p w:rsidR="004D6006" w:rsidRDefault="002A5644" w:rsidP="004D6006">
            <w:pPr>
              <w:spacing w:after="120" w:line="240" w:lineRule="auto"/>
              <w:rPr>
                <w:b/>
                <w:bCs/>
                <w:color w:val="000000"/>
                <w:spacing w:val="-2"/>
                <w:szCs w:val="24"/>
              </w:rPr>
            </w:pPr>
            <w:r w:rsidRPr="00C970CD">
              <w:rPr>
                <w:b/>
                <w:bCs/>
                <w:color w:val="000000"/>
                <w:spacing w:val="-2"/>
                <w:szCs w:val="24"/>
              </w:rPr>
              <w:t xml:space="preserve">Organizace práce ve výrobním </w:t>
            </w:r>
            <w:r>
              <w:rPr>
                <w:b/>
                <w:bCs/>
                <w:color w:val="000000"/>
                <w:spacing w:val="-2"/>
                <w:szCs w:val="24"/>
              </w:rPr>
              <w:t>a odbytovém středisku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organizační struktura</w:t>
            </w:r>
          </w:p>
          <w:p w:rsidR="002A5644" w:rsidRPr="00C970CD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C970CD">
              <w:rPr>
                <w:color w:val="000000"/>
                <w:szCs w:val="24"/>
              </w:rPr>
              <w:t>-</w:t>
            </w:r>
            <w:r w:rsidRPr="00C970CD">
              <w:rPr>
                <w:color w:val="000000"/>
                <w:szCs w:val="24"/>
              </w:rPr>
              <w:tab/>
              <w:t>rozdělování úkolů</w:t>
            </w:r>
          </w:p>
          <w:p w:rsidR="002A5644" w:rsidRDefault="002A5644" w:rsidP="002A5644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color w:val="000000"/>
                <w:szCs w:val="24"/>
              </w:rPr>
              <w:t xml:space="preserve">- </w:t>
            </w:r>
            <w:r w:rsidRPr="00C970CD">
              <w:rPr>
                <w:color w:val="000000"/>
                <w:spacing w:val="-2"/>
                <w:szCs w:val="24"/>
              </w:rPr>
              <w:t>specifické práce ve výrobním středisku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090B45" w:rsidRDefault="00C8322C">
            <w:r>
              <w:t>3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090B45" w:rsidRDefault="00C8322C">
            <w:r>
              <w:t>4</w:t>
            </w:r>
          </w:p>
        </w:tc>
        <w:tc>
          <w:tcPr>
            <w:tcW w:w="4354" w:type="dxa"/>
          </w:tcPr>
          <w:p w:rsidR="00090B45" w:rsidRPr="00377233" w:rsidRDefault="002A5644" w:rsidP="004D6006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970CD">
              <w:rPr>
                <w:color w:val="000000"/>
                <w:spacing w:val="-1"/>
                <w:szCs w:val="24"/>
              </w:rPr>
              <w:t xml:space="preserve">Organizuje práci ve výrobním </w:t>
            </w:r>
            <w:r>
              <w:rPr>
                <w:color w:val="000000"/>
                <w:spacing w:val="-1"/>
                <w:szCs w:val="24"/>
              </w:rPr>
              <w:t>a odbytovém středisku</w:t>
            </w:r>
          </w:p>
        </w:tc>
      </w:tr>
      <w:tr w:rsidR="002A5644" w:rsidTr="004D6006">
        <w:trPr>
          <w:trHeight w:val="2473"/>
        </w:trPr>
        <w:tc>
          <w:tcPr>
            <w:tcW w:w="3999" w:type="dxa"/>
          </w:tcPr>
          <w:p w:rsidR="002A5644" w:rsidRDefault="002A5644" w:rsidP="004D6006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28688A">
              <w:rPr>
                <w:b/>
                <w:bCs/>
                <w:color w:val="000000"/>
                <w:szCs w:val="24"/>
              </w:rPr>
              <w:lastRenderedPageBreak/>
              <w:t>Gastronomické služby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145"/>
              </w:tabs>
              <w:spacing w:line="288" w:lineRule="exact"/>
              <w:ind w:left="145" w:hanging="145"/>
            </w:pPr>
            <w:r w:rsidRPr="0028688A">
              <w:rPr>
                <w:color w:val="000000"/>
                <w:szCs w:val="24"/>
              </w:rPr>
              <w:t xml:space="preserve">- </w:t>
            </w:r>
            <w:r w:rsidRPr="0028688A">
              <w:rPr>
                <w:color w:val="000000"/>
                <w:spacing w:val="-1"/>
                <w:szCs w:val="24"/>
              </w:rPr>
              <w:t xml:space="preserve">gastronomické služby v dopravních </w:t>
            </w:r>
            <w:r w:rsidRPr="0028688A">
              <w:rPr>
                <w:color w:val="000000"/>
                <w:szCs w:val="24"/>
              </w:rPr>
              <w:t>prostředcích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145"/>
                <w:tab w:val="left" w:pos="254"/>
              </w:tabs>
              <w:spacing w:line="288" w:lineRule="exact"/>
              <w:ind w:left="145" w:hanging="145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základní společenská a profesní pravidla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145"/>
                <w:tab w:val="left" w:pos="254"/>
              </w:tabs>
              <w:spacing w:line="288" w:lineRule="exact"/>
              <w:ind w:left="145" w:hanging="145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obsluha zahraničních hostů</w:t>
            </w:r>
          </w:p>
          <w:p w:rsidR="002A5644" w:rsidRPr="00C970CD" w:rsidRDefault="002A5644" w:rsidP="002A5644">
            <w:pPr>
              <w:spacing w:after="120" w:line="240" w:lineRule="auto"/>
              <w:rPr>
                <w:b/>
                <w:bCs/>
                <w:color w:val="000000"/>
                <w:spacing w:val="-2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-  </w:t>
            </w:r>
            <w:r w:rsidRPr="0028688A">
              <w:rPr>
                <w:color w:val="000000"/>
                <w:szCs w:val="24"/>
              </w:rPr>
              <w:t>řešení</w:t>
            </w:r>
            <w:proofErr w:type="gramEnd"/>
            <w:r w:rsidRPr="0028688A">
              <w:rPr>
                <w:color w:val="000000"/>
                <w:szCs w:val="24"/>
              </w:rPr>
              <w:t xml:space="preserve"> konfliktních situací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A5644" w:rsidRDefault="00C8322C">
            <w:r>
              <w:t>3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2A5644" w:rsidRDefault="00C8322C">
            <w:r>
              <w:t>10</w:t>
            </w:r>
          </w:p>
        </w:tc>
        <w:tc>
          <w:tcPr>
            <w:tcW w:w="4354" w:type="dxa"/>
          </w:tcPr>
          <w:p w:rsidR="002A5644" w:rsidRPr="0028688A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pacing w:val="-2"/>
                <w:szCs w:val="24"/>
              </w:rPr>
              <w:t>Definuje</w:t>
            </w:r>
            <w:r w:rsidRPr="0028688A">
              <w:rPr>
                <w:color w:val="000000"/>
                <w:spacing w:val="-2"/>
                <w:szCs w:val="24"/>
              </w:rPr>
              <w:t xml:space="preserve"> možnosti obsluhy v jednotlivých </w:t>
            </w:r>
            <w:r w:rsidRPr="0028688A">
              <w:rPr>
                <w:color w:val="000000"/>
                <w:spacing w:val="-1"/>
                <w:szCs w:val="24"/>
              </w:rPr>
              <w:t xml:space="preserve">dopravních prostředcích, </w:t>
            </w:r>
            <w:r w:rsidRPr="0028688A">
              <w:rPr>
                <w:color w:val="000000"/>
                <w:spacing w:val="-2"/>
                <w:szCs w:val="24"/>
              </w:rPr>
              <w:t>respektuje</w:t>
            </w:r>
            <w:r w:rsidRPr="0028688A">
              <w:rPr>
                <w:color w:val="000000"/>
                <w:spacing w:val="-1"/>
                <w:szCs w:val="24"/>
              </w:rPr>
              <w:t xml:space="preserve"> specifika </w:t>
            </w:r>
            <w:r w:rsidRPr="0028688A">
              <w:rPr>
                <w:color w:val="000000"/>
                <w:spacing w:val="-2"/>
                <w:szCs w:val="24"/>
              </w:rPr>
              <w:t>stravovacích návyků cizinců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Jedná profesionálně v souladu se společenským chováním</w:t>
            </w:r>
          </w:p>
          <w:p w:rsidR="002A5644" w:rsidRPr="00C970CD" w:rsidRDefault="002A5644" w:rsidP="002A5644">
            <w:pPr>
              <w:spacing w:before="60" w:after="100" w:afterAutospacing="1" w:line="240" w:lineRule="auto"/>
              <w:rPr>
                <w:color w:val="000000"/>
                <w:spacing w:val="-1"/>
                <w:szCs w:val="24"/>
              </w:rPr>
            </w:pPr>
            <w:r w:rsidRPr="0028688A">
              <w:rPr>
                <w:color w:val="000000"/>
                <w:spacing w:val="-1"/>
                <w:szCs w:val="24"/>
              </w:rPr>
              <w:t xml:space="preserve">Řeší možné nehody při obsluze, předchází </w:t>
            </w:r>
            <w:r w:rsidRPr="0028688A">
              <w:rPr>
                <w:color w:val="000000"/>
                <w:szCs w:val="24"/>
              </w:rPr>
              <w:t>konfliktním situacím</w:t>
            </w:r>
          </w:p>
        </w:tc>
      </w:tr>
      <w:tr w:rsidR="002A5644" w:rsidTr="004D6006">
        <w:trPr>
          <w:trHeight w:val="2473"/>
        </w:trPr>
        <w:tc>
          <w:tcPr>
            <w:tcW w:w="3999" w:type="dxa"/>
          </w:tcPr>
          <w:p w:rsidR="002A5644" w:rsidRDefault="002A5644" w:rsidP="004D6006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28688A">
              <w:rPr>
                <w:b/>
                <w:bCs/>
                <w:color w:val="000000"/>
                <w:szCs w:val="24"/>
              </w:rPr>
              <w:t>Slavnostní hostiny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banket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raut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105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-</w:t>
            </w:r>
            <w:r w:rsidRPr="0028688A">
              <w:rPr>
                <w:color w:val="000000"/>
                <w:szCs w:val="24"/>
              </w:rPr>
              <w:tab/>
              <w:t>recepce</w:t>
            </w:r>
          </w:p>
          <w:p w:rsidR="002A5644" w:rsidRPr="0028688A" w:rsidRDefault="002A5644" w:rsidP="002A5644">
            <w:pPr>
              <w:spacing w:after="120" w:line="240" w:lineRule="auto"/>
              <w:rPr>
                <w:b/>
                <w:bCs/>
                <w:color w:val="000000"/>
                <w:szCs w:val="24"/>
              </w:rPr>
            </w:pPr>
            <w:r w:rsidRPr="0028688A">
              <w:rPr>
                <w:color w:val="000000"/>
                <w:szCs w:val="24"/>
              </w:rPr>
              <w:t>- příprava místnosti, zakládání inventáře,</w:t>
            </w:r>
            <w:r w:rsidRPr="0028688A">
              <w:rPr>
                <w:color w:val="000000"/>
                <w:spacing w:val="-2"/>
                <w:szCs w:val="24"/>
              </w:rPr>
              <w:t xml:space="preserve"> obsluha, vyúčtování, práce po skončení </w:t>
            </w:r>
            <w:r w:rsidRPr="0028688A">
              <w:rPr>
                <w:color w:val="000000"/>
                <w:szCs w:val="24"/>
              </w:rPr>
              <w:t>hostiny</w:t>
            </w:r>
          </w:p>
        </w:tc>
        <w:tc>
          <w:tcPr>
            <w:tcW w:w="397" w:type="dxa"/>
            <w:shd w:val="clear" w:color="auto" w:fill="B6DDE8" w:themeFill="accent5" w:themeFillTint="66"/>
          </w:tcPr>
          <w:p w:rsidR="002A5644" w:rsidRDefault="00C8322C">
            <w:r>
              <w:t>6</w:t>
            </w:r>
          </w:p>
        </w:tc>
        <w:tc>
          <w:tcPr>
            <w:tcW w:w="397" w:type="dxa"/>
            <w:shd w:val="clear" w:color="auto" w:fill="FBD4B4" w:themeFill="accent6" w:themeFillTint="66"/>
          </w:tcPr>
          <w:p w:rsidR="002A5644" w:rsidRDefault="00C8322C">
            <w:r>
              <w:t>10</w:t>
            </w:r>
          </w:p>
        </w:tc>
        <w:tc>
          <w:tcPr>
            <w:tcW w:w="4354" w:type="dxa"/>
          </w:tcPr>
          <w:p w:rsidR="002A5644" w:rsidRPr="0028688A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Rozlišuje druhy slavnostních hostin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Charakterizuje druhy společenských akcí podle způsobu obsluhy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 w:rsidRPr="0028688A">
              <w:rPr>
                <w:color w:val="000000"/>
                <w:szCs w:val="24"/>
              </w:rPr>
              <w:t>Připraví slavnostní hostinu podle objednávky hostů</w:t>
            </w:r>
          </w:p>
          <w:p w:rsidR="002A5644" w:rsidRPr="0028688A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</w:pPr>
            <w:r>
              <w:rPr>
                <w:color w:val="000000"/>
                <w:szCs w:val="24"/>
              </w:rPr>
              <w:t>Definuje</w:t>
            </w:r>
            <w:r w:rsidRPr="0028688A">
              <w:rPr>
                <w:color w:val="000000"/>
                <w:szCs w:val="24"/>
              </w:rPr>
              <w:t xml:space="preserve"> způsoby vyúčtování s hostem</w:t>
            </w:r>
          </w:p>
          <w:p w:rsidR="002A5644" w:rsidRDefault="002A5644" w:rsidP="002A5644">
            <w:pPr>
              <w:shd w:val="clear" w:color="auto" w:fill="FFFFFF"/>
              <w:tabs>
                <w:tab w:val="left" w:pos="326"/>
              </w:tabs>
              <w:spacing w:line="288" w:lineRule="exact"/>
              <w:rPr>
                <w:color w:val="000000"/>
                <w:spacing w:val="-2"/>
                <w:szCs w:val="24"/>
              </w:rPr>
            </w:pPr>
            <w:r w:rsidRPr="0028688A">
              <w:rPr>
                <w:color w:val="000000"/>
                <w:spacing w:val="-2"/>
                <w:szCs w:val="24"/>
              </w:rPr>
              <w:t xml:space="preserve">Obslouží hosty při slavnostní hostině podle </w:t>
            </w:r>
            <w:r w:rsidRPr="0028688A">
              <w:rPr>
                <w:color w:val="000000"/>
                <w:szCs w:val="24"/>
              </w:rPr>
              <w:t>gastronomických pravidel</w:t>
            </w:r>
          </w:p>
        </w:tc>
      </w:tr>
    </w:tbl>
    <w:p w:rsidR="00E67DC9" w:rsidRDefault="00E67DC9" w:rsidP="00B3246B"/>
    <w:sectPr w:rsidR="00E67DC9" w:rsidSect="00DB5C4A">
      <w:headerReference w:type="default" r:id="rId8"/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44" w:rsidRDefault="002A5644" w:rsidP="009B57C5">
      <w:pPr>
        <w:spacing w:after="0" w:line="240" w:lineRule="auto"/>
      </w:pPr>
      <w:r>
        <w:separator/>
      </w:r>
    </w:p>
  </w:endnote>
  <w:endnote w:type="continuationSeparator" w:id="0">
    <w:p w:rsidR="002A5644" w:rsidRDefault="002A5644" w:rsidP="009B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41"/>
      <w:docPartObj>
        <w:docPartGallery w:val="Page Numbers (Bottom of Page)"/>
        <w:docPartUnique/>
      </w:docPartObj>
    </w:sdtPr>
    <w:sdtEndPr/>
    <w:sdtContent>
      <w:p w:rsidR="002A5644" w:rsidRDefault="002A564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1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A5644" w:rsidRDefault="002A56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44" w:rsidRDefault="002A5644" w:rsidP="009B57C5">
      <w:pPr>
        <w:spacing w:after="0" w:line="240" w:lineRule="auto"/>
      </w:pPr>
      <w:r>
        <w:separator/>
      </w:r>
    </w:p>
  </w:footnote>
  <w:footnote w:type="continuationSeparator" w:id="0">
    <w:p w:rsidR="002A5644" w:rsidRDefault="002A5644" w:rsidP="009B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1D7" w:rsidRDefault="006571D7" w:rsidP="006571D7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STŘEDNÍ ŠKOLA GASTRONOMIE A SLUŽEB </w:t>
    </w:r>
    <w:r>
      <w:rPr>
        <w:b/>
        <w:sz w:val="24"/>
        <w:szCs w:val="24"/>
      </w:rPr>
      <w:br/>
      <w:t>TRUTNOV, TEPLICE NAD METUJÍ</w:t>
    </w:r>
  </w:p>
  <w:p w:rsidR="002A5644" w:rsidRDefault="002A56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27"/>
    <w:multiLevelType w:val="multilevel"/>
    <w:tmpl w:val="D564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066B8"/>
    <w:multiLevelType w:val="multilevel"/>
    <w:tmpl w:val="E46C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5052C"/>
    <w:multiLevelType w:val="multilevel"/>
    <w:tmpl w:val="24FE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571C"/>
    <w:multiLevelType w:val="hybridMultilevel"/>
    <w:tmpl w:val="149CE2E6"/>
    <w:lvl w:ilvl="0" w:tplc="70E6CB0C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000000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74E5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289E65FF"/>
    <w:multiLevelType w:val="multilevel"/>
    <w:tmpl w:val="7DB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36C4B"/>
    <w:multiLevelType w:val="hybridMultilevel"/>
    <w:tmpl w:val="916A2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C63BF"/>
    <w:multiLevelType w:val="multilevel"/>
    <w:tmpl w:val="BD4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6557F"/>
    <w:multiLevelType w:val="hybridMultilevel"/>
    <w:tmpl w:val="6E4857C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1635B3"/>
    <w:multiLevelType w:val="hybridMultilevel"/>
    <w:tmpl w:val="ABFC6522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B73481"/>
    <w:multiLevelType w:val="multilevel"/>
    <w:tmpl w:val="EA704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54307"/>
    <w:multiLevelType w:val="multilevel"/>
    <w:tmpl w:val="67B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47D03"/>
    <w:multiLevelType w:val="hybridMultilevel"/>
    <w:tmpl w:val="AD38D106"/>
    <w:lvl w:ilvl="0" w:tplc="6DB06E34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E779F8"/>
    <w:multiLevelType w:val="multilevel"/>
    <w:tmpl w:val="0384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C86C4E"/>
    <w:multiLevelType w:val="hybridMultilevel"/>
    <w:tmpl w:val="7D524BBC"/>
    <w:lvl w:ilvl="0" w:tplc="7E14384A"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B569EF"/>
    <w:multiLevelType w:val="multilevel"/>
    <w:tmpl w:val="713C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03D9F"/>
    <w:multiLevelType w:val="multilevel"/>
    <w:tmpl w:val="A0F4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454393"/>
    <w:multiLevelType w:val="multilevel"/>
    <w:tmpl w:val="3A36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37F29"/>
    <w:multiLevelType w:val="multilevel"/>
    <w:tmpl w:val="2666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B31F4"/>
    <w:multiLevelType w:val="multilevel"/>
    <w:tmpl w:val="45F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D856DF"/>
    <w:multiLevelType w:val="hybridMultilevel"/>
    <w:tmpl w:val="87681FA0"/>
    <w:lvl w:ilvl="0" w:tplc="DBD62536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FB22AD"/>
    <w:multiLevelType w:val="multilevel"/>
    <w:tmpl w:val="066C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1"/>
  </w:num>
  <w:num w:numId="5">
    <w:abstractNumId w:val="2"/>
  </w:num>
  <w:num w:numId="6">
    <w:abstractNumId w:val="13"/>
  </w:num>
  <w:num w:numId="7">
    <w:abstractNumId w:val="15"/>
  </w:num>
  <w:num w:numId="8">
    <w:abstractNumId w:val="10"/>
  </w:num>
  <w:num w:numId="9">
    <w:abstractNumId w:val="7"/>
  </w:num>
  <w:num w:numId="10">
    <w:abstractNumId w:val="19"/>
  </w:num>
  <w:num w:numId="11">
    <w:abstractNumId w:val="21"/>
  </w:num>
  <w:num w:numId="12">
    <w:abstractNumId w:val="0"/>
  </w:num>
  <w:num w:numId="13">
    <w:abstractNumId w:val="16"/>
  </w:num>
  <w:num w:numId="14">
    <w:abstractNumId w:val="18"/>
  </w:num>
  <w:num w:numId="15">
    <w:abstractNumId w:val="5"/>
  </w:num>
  <w:num w:numId="16">
    <w:abstractNumId w:val="14"/>
  </w:num>
  <w:num w:numId="17">
    <w:abstractNumId w:val="12"/>
  </w:num>
  <w:num w:numId="18">
    <w:abstractNumId w:val="20"/>
  </w:num>
  <w:num w:numId="19">
    <w:abstractNumId w:val="9"/>
  </w:num>
  <w:num w:numId="20">
    <w:abstractNumId w:val="4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C9"/>
    <w:rsid w:val="00090B45"/>
    <w:rsid w:val="000A15B5"/>
    <w:rsid w:val="001B3D67"/>
    <w:rsid w:val="001D3D43"/>
    <w:rsid w:val="002306F6"/>
    <w:rsid w:val="002A5644"/>
    <w:rsid w:val="00346DBE"/>
    <w:rsid w:val="003500D8"/>
    <w:rsid w:val="00377233"/>
    <w:rsid w:val="004D6006"/>
    <w:rsid w:val="00556930"/>
    <w:rsid w:val="005715A1"/>
    <w:rsid w:val="00656810"/>
    <w:rsid w:val="006571D7"/>
    <w:rsid w:val="00723136"/>
    <w:rsid w:val="00762678"/>
    <w:rsid w:val="00794B55"/>
    <w:rsid w:val="008504E6"/>
    <w:rsid w:val="008818DC"/>
    <w:rsid w:val="00984960"/>
    <w:rsid w:val="009B57C5"/>
    <w:rsid w:val="00A14E52"/>
    <w:rsid w:val="00B05D42"/>
    <w:rsid w:val="00B3246B"/>
    <w:rsid w:val="00B654EF"/>
    <w:rsid w:val="00C65474"/>
    <w:rsid w:val="00C8322C"/>
    <w:rsid w:val="00D27F57"/>
    <w:rsid w:val="00D42AEE"/>
    <w:rsid w:val="00DB5C4A"/>
    <w:rsid w:val="00E42D5D"/>
    <w:rsid w:val="00E67DC9"/>
    <w:rsid w:val="00E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D42"/>
    <w:pPr>
      <w:keepNext/>
      <w:keepLines/>
      <w:numPr>
        <w:numId w:val="20"/>
      </w:numPr>
      <w:spacing w:before="480" w:after="0" w:line="264" w:lineRule="auto"/>
      <w:jc w:val="both"/>
      <w:outlineLvl w:val="0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B05D42"/>
    <w:pPr>
      <w:keepNext/>
      <w:keepLines/>
      <w:numPr>
        <w:ilvl w:val="1"/>
        <w:numId w:val="20"/>
      </w:numPr>
      <w:spacing w:before="200" w:after="0" w:line="264" w:lineRule="auto"/>
      <w:jc w:val="both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B05D42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Cs w:val="26"/>
    </w:rPr>
  </w:style>
  <w:style w:type="paragraph" w:styleId="Nadpis4">
    <w:name w:val="heading 4"/>
    <w:basedOn w:val="Normln"/>
    <w:link w:val="Nadpis4Char"/>
    <w:autoRedefine/>
    <w:uiPriority w:val="99"/>
    <w:qFormat/>
    <w:rsid w:val="00B05D42"/>
    <w:pPr>
      <w:widowControl w:val="0"/>
      <w:numPr>
        <w:ilvl w:val="3"/>
        <w:numId w:val="20"/>
      </w:numPr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Times New Roman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05D42"/>
    <w:pPr>
      <w:widowControl w:val="0"/>
      <w:numPr>
        <w:ilvl w:val="4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D42"/>
    <w:pPr>
      <w:keepNext/>
      <w:keepLines/>
      <w:numPr>
        <w:ilvl w:val="5"/>
        <w:numId w:val="20"/>
      </w:numPr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D42"/>
    <w:pPr>
      <w:keepNext/>
      <w:keepLines/>
      <w:numPr>
        <w:ilvl w:val="6"/>
        <w:numId w:val="20"/>
      </w:numPr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D42"/>
    <w:pPr>
      <w:keepNext/>
      <w:keepLines/>
      <w:numPr>
        <w:ilvl w:val="7"/>
        <w:numId w:val="20"/>
      </w:numPr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D42"/>
    <w:pPr>
      <w:keepNext/>
      <w:keepLines/>
      <w:numPr>
        <w:ilvl w:val="8"/>
        <w:numId w:val="20"/>
      </w:numPr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C5"/>
  </w:style>
  <w:style w:type="paragraph" w:styleId="Zpat">
    <w:name w:val="footer"/>
    <w:basedOn w:val="Normln"/>
    <w:link w:val="Zpat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C5"/>
  </w:style>
  <w:style w:type="character" w:customStyle="1" w:styleId="Nadpis1Char">
    <w:name w:val="Nadpis 1 Char"/>
    <w:basedOn w:val="Standardnpsmoodstavce"/>
    <w:link w:val="Nadpis1"/>
    <w:uiPriority w:val="9"/>
    <w:rsid w:val="00B05D4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05D42"/>
    <w:rPr>
      <w:rFonts w:ascii="Calibri" w:eastAsia="Times New Roman" w:hAnsi="Calibri" w:cs="Times New Roman"/>
      <w:b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B05D42"/>
    <w:rPr>
      <w:rFonts w:ascii="Calibri" w:eastAsia="Times New Roman" w:hAnsi="Calibr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05D42"/>
    <w:rPr>
      <w:rFonts w:ascii="Arial" w:eastAsia="Times New Roman" w:hAnsi="Arial" w:cs="Arial"/>
      <w:b/>
      <w:bCs/>
    </w:rPr>
  </w:style>
  <w:style w:type="character" w:customStyle="1" w:styleId="Nadpis5Char">
    <w:name w:val="Nadpis 5 Char"/>
    <w:basedOn w:val="Standardnpsmoodstavce"/>
    <w:link w:val="Nadpis5"/>
    <w:uiPriority w:val="99"/>
    <w:rsid w:val="00B05D42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D4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D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5D42"/>
    <w:pPr>
      <w:keepNext/>
      <w:keepLines/>
      <w:numPr>
        <w:numId w:val="20"/>
      </w:numPr>
      <w:spacing w:before="480" w:after="0" w:line="264" w:lineRule="auto"/>
      <w:jc w:val="both"/>
      <w:outlineLvl w:val="0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B05D42"/>
    <w:pPr>
      <w:keepNext/>
      <w:keepLines/>
      <w:numPr>
        <w:ilvl w:val="1"/>
        <w:numId w:val="20"/>
      </w:numPr>
      <w:spacing w:before="200" w:after="0" w:line="264" w:lineRule="auto"/>
      <w:jc w:val="both"/>
      <w:outlineLvl w:val="1"/>
    </w:pPr>
    <w:rPr>
      <w:rFonts w:ascii="Calibri" w:eastAsia="Times New Roman" w:hAnsi="Calibri" w:cs="Times New Roman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B05D42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Calibri" w:eastAsia="Times New Roman" w:hAnsi="Calibri" w:cs="Arial"/>
      <w:b/>
      <w:bCs/>
      <w:szCs w:val="26"/>
    </w:rPr>
  </w:style>
  <w:style w:type="paragraph" w:styleId="Nadpis4">
    <w:name w:val="heading 4"/>
    <w:basedOn w:val="Normln"/>
    <w:link w:val="Nadpis4Char"/>
    <w:autoRedefine/>
    <w:uiPriority w:val="99"/>
    <w:qFormat/>
    <w:rsid w:val="00B05D42"/>
    <w:pPr>
      <w:widowControl w:val="0"/>
      <w:numPr>
        <w:ilvl w:val="3"/>
        <w:numId w:val="20"/>
      </w:numPr>
      <w:autoSpaceDE w:val="0"/>
      <w:autoSpaceDN w:val="0"/>
      <w:adjustRightInd w:val="0"/>
      <w:spacing w:before="80" w:after="0" w:line="240" w:lineRule="auto"/>
      <w:jc w:val="both"/>
      <w:outlineLvl w:val="3"/>
    </w:pPr>
    <w:rPr>
      <w:rFonts w:ascii="Arial" w:eastAsia="Times New Roman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05D42"/>
    <w:pPr>
      <w:widowControl w:val="0"/>
      <w:numPr>
        <w:ilvl w:val="4"/>
        <w:numId w:val="20"/>
      </w:numPr>
      <w:autoSpaceDE w:val="0"/>
      <w:autoSpaceDN w:val="0"/>
      <w:adjustRightInd w:val="0"/>
      <w:spacing w:before="240" w:after="60" w:line="240" w:lineRule="auto"/>
      <w:jc w:val="both"/>
      <w:outlineLvl w:val="4"/>
    </w:pPr>
    <w:rPr>
      <w:rFonts w:ascii="Arial" w:eastAsia="Times New Roman" w:hAnsi="Arial" w:cs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5D42"/>
    <w:pPr>
      <w:keepNext/>
      <w:keepLines/>
      <w:numPr>
        <w:ilvl w:val="5"/>
        <w:numId w:val="20"/>
      </w:numPr>
      <w:spacing w:before="200" w:after="0" w:line="264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5D42"/>
    <w:pPr>
      <w:keepNext/>
      <w:keepLines/>
      <w:numPr>
        <w:ilvl w:val="6"/>
        <w:numId w:val="20"/>
      </w:numPr>
      <w:spacing w:before="200" w:after="0" w:line="264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5D42"/>
    <w:pPr>
      <w:keepNext/>
      <w:keepLines/>
      <w:numPr>
        <w:ilvl w:val="7"/>
        <w:numId w:val="20"/>
      </w:numPr>
      <w:spacing w:before="200" w:after="0" w:line="264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5D42"/>
    <w:pPr>
      <w:keepNext/>
      <w:keepLines/>
      <w:numPr>
        <w:ilvl w:val="8"/>
        <w:numId w:val="20"/>
      </w:numPr>
      <w:spacing w:before="200" w:after="0" w:line="264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DC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C5"/>
  </w:style>
  <w:style w:type="paragraph" w:styleId="Zpat">
    <w:name w:val="footer"/>
    <w:basedOn w:val="Normln"/>
    <w:link w:val="ZpatChar"/>
    <w:uiPriority w:val="99"/>
    <w:unhideWhenUsed/>
    <w:rsid w:val="009B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C5"/>
  </w:style>
  <w:style w:type="character" w:customStyle="1" w:styleId="Nadpis1Char">
    <w:name w:val="Nadpis 1 Char"/>
    <w:basedOn w:val="Standardnpsmoodstavce"/>
    <w:link w:val="Nadpis1"/>
    <w:uiPriority w:val="9"/>
    <w:rsid w:val="00B05D4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05D42"/>
    <w:rPr>
      <w:rFonts w:ascii="Calibri" w:eastAsia="Times New Roman" w:hAnsi="Calibri" w:cs="Times New Roman"/>
      <w:b/>
      <w:bCs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9"/>
    <w:rsid w:val="00B05D42"/>
    <w:rPr>
      <w:rFonts w:ascii="Calibri" w:eastAsia="Times New Roman" w:hAnsi="Calibri" w:cs="Arial"/>
      <w:b/>
      <w:bCs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05D42"/>
    <w:rPr>
      <w:rFonts w:ascii="Arial" w:eastAsia="Times New Roman" w:hAnsi="Arial" w:cs="Arial"/>
      <w:b/>
      <w:bCs/>
    </w:rPr>
  </w:style>
  <w:style w:type="character" w:customStyle="1" w:styleId="Nadpis5Char">
    <w:name w:val="Nadpis 5 Char"/>
    <w:basedOn w:val="Standardnpsmoodstavce"/>
    <w:link w:val="Nadpis5"/>
    <w:uiPriority w:val="99"/>
    <w:rsid w:val="00B05D42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5D4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5D4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5D4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852D3C26</Template>
  <TotalTime>1</TotalTime>
  <Pages>3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Šrůtková</dc:creator>
  <cp:lastModifiedBy>Soňa Šrůtková</cp:lastModifiedBy>
  <cp:revision>3</cp:revision>
  <cp:lastPrinted>2014-09-08T07:46:00Z</cp:lastPrinted>
  <dcterms:created xsi:type="dcterms:W3CDTF">2014-09-11T10:04:00Z</dcterms:created>
  <dcterms:modified xsi:type="dcterms:W3CDTF">2018-07-19T09:55:00Z</dcterms:modified>
</cp:coreProperties>
</file>